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1F3864"/>
          <w:sz w:val="40"/>
          <w:szCs w:val="40"/>
        </w:rPr>
        <w:t xml:space="preserve">[FULL NAME]</w:t>
      </w:r>
    </w:p>
    <w:p>
      <w:pPr>
        <w:spacing w:after="40"/>
        <w:jc w:val="center"/>
      </w:pPr>
      <w:r>
        <w:rPr>
          <w:rFonts w:ascii="Calibri" w:cs="Calibri" w:eastAsia="Calibri" w:hAnsi="Calibri"/>
          <w:i/>
          <w:iCs/>
          <w:color w:val="444444"/>
          <w:sz w:val="21"/>
          <w:szCs w:val="21"/>
        </w:rPr>
        <w:t xml:space="preserve">[Target Role — e.g., Pharmacovigilance Associate] | Domain: [Pharmacovigilance / Clinical Research / Regulatory Affairs / Medical Affairs / Medical Writing / Materiovigilance / Healthcare Data Analytics]</w:t>
      </w:r>
    </w:p>
    <w:p>
      <w:pPr>
        <w:spacing w:after="200"/>
        <w:jc w:val="center"/>
      </w:pPr>
      <w:r>
        <w:rPr>
          <w:rFonts w:ascii="Calibri" w:cs="Calibri" w:eastAsia="Calibri" w:hAnsi="Calibri"/>
          <w:color w:val="444444"/>
          <w:sz w:val="19"/>
          <w:szCs w:val="19"/>
        </w:rPr>
        <w:t xml:space="preserve">[City, State] | [Phone Number] | [Email Address] | [LinkedIn URL] | [Naukri/Portfolio URL — optional]</w:t>
      </w:r>
    </w:p>
    <w:p>
      <w:pPr>
        <w:pBdr>
          <w:bottom w:val="single" w:color="1F3864" w:sz="6" w:space="1"/>
        </w:pBdr>
        <w:spacing w:after="120"/>
      </w:pPr>
    </w:p>
    <w:p>
      <w:pPr>
        <w:pBdr>
          <w:bottom w:val="single" w:color="1F3864" w:sz="6" w:space="2"/>
        </w:pBdr>
        <w:spacing w:after="60" w:before="2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[3–4 lines. Degree + domain knowledge + 1 measurable project/internship result + what you bring. Mirror 3–4 exact keywords from the job posting. No "Career Objective" — summaries outperform objectives with modern ATS and recruiters.]</w:t>
      </w:r>
    </w:p>
    <w:p>
      <w:pPr>
        <w:pBdr>
          <w:bottom w:val="single" w:color="1F3864" w:sz="6" w:space="2"/>
        </w:pBdr>
        <w:spacing w:after="60" w:before="2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CORE COMPETENCIES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Domain Skills: </w:t>
      </w:r>
      <w:r>
        <w:rPr>
          <w:rFonts w:ascii="Calibri" w:cs="Calibri" w:eastAsia="Calibri" w:hAnsi="Calibri"/>
          <w:color w:val="444444"/>
          <w:sz w:val="21"/>
          <w:szCs w:val="21"/>
        </w:rPr>
        <w:t xml:space="preserve">[Insert 6–8 keywords from your target domain's skill bank — see Guide, Section 6]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Cross-Functional Skills: </w:t>
      </w:r>
      <w:r>
        <w:rPr>
          <w:rFonts w:ascii="Calibri" w:cs="Calibri" w:eastAsia="Calibri" w:hAnsi="Calibri"/>
          <w:color w:val="444444"/>
          <w:sz w:val="21"/>
          <w:szCs w:val="21"/>
        </w:rPr>
        <w:t xml:space="preserve">[Attention to Detail, Analytical Thinking, Written &amp; Verbal Communication, Regulatory Compliance Mindset, Cross-Team Collaboration, Time Management]</w:t>
      </w:r>
    </w:p>
    <w:p>
      <w:pPr>
        <w:pBdr>
          <w:bottom w:val="single" w:color="1F3864" w:sz="6" w:space="2"/>
        </w:pBdr>
        <w:spacing w:after="60" w:before="2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EDUCATION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[Degree — e.g., Master of Pharmacy / B.Sc. Life Sciences / MBBS / M.Sc. Biostatistics]</w:t>
      </w:r>
    </w:p>
    <w:p>
      <w:pPr>
        <w:spacing w:after="40"/>
      </w:pPr>
      <w:r>
        <w:rPr>
          <w:rFonts w:ascii="Calibri" w:cs="Calibri" w:eastAsia="Calibri" w:hAnsi="Calibri"/>
          <w:b w:val="false"/>
          <w:bCs w:val="false"/>
          <w:sz w:val="21"/>
          <w:szCs w:val="21"/>
        </w:rPr>
        <w:t xml:space="preserve">[University Name], [City] | [Month Year] – [Month Year] | [CGPA/Percentage, if strong]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[Bachelor's Degree]</w:t>
      </w:r>
    </w:p>
    <w:p>
      <w:pPr>
        <w:spacing w:after="40"/>
      </w:pPr>
      <w:r>
        <w:rPr>
          <w:rFonts w:ascii="Calibri" w:cs="Calibri" w:eastAsia="Calibri" w:hAnsi="Calibri"/>
          <w:b w:val="false"/>
          <w:bCs w:val="false"/>
          <w:sz w:val="21"/>
          <w:szCs w:val="21"/>
        </w:rPr>
        <w:t xml:space="preserve">[University Name], [City] | [Month Year] – [Month Year] | [CGPA/Percentage, if strong]</w:t>
      </w:r>
    </w:p>
    <w:p>
      <w:pPr>
        <w:pBdr>
          <w:bottom w:val="single" w:color="1F3864" w:sz="6" w:space="2"/>
        </w:pBdr>
        <w:spacing w:after="60" w:before="2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INTERNSHIP / ACADEMIC PROJECT EXPERIENCE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[Project/Internship Title]</w:t>
      </w:r>
    </w:p>
    <w:p>
      <w:pPr>
        <w:spacing w:after="40"/>
      </w:pPr>
      <w:r>
        <w:rPr>
          <w:rFonts w:ascii="Calibri" w:cs="Calibri" w:eastAsia="Calibri" w:hAnsi="Calibri"/>
          <w:b w:val="false"/>
          <w:bCs w:val="false"/>
          <w:sz w:val="21"/>
          <w:szCs w:val="21"/>
        </w:rPr>
        <w:t xml:space="preserve">[Organization/College/Hospital Name], [City] | [Month Year] – [Month Year]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[Action verb] + [task] + [domain tool/method used] + [measurable outcome, e.g., accuracy %, cases handled, time saved].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[Action verb] + [what you did] + [guideline/regulation followed, e.g., ICH-GCP, GVP, MDR 2017] + [result].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[Action verb] + [collaboration/presentation activity] + [quantified result].</w:t>
      </w:r>
    </w:p>
    <w:p>
      <w:pPr>
        <w:pBdr>
          <w:bottom w:val="single" w:color="1F3864" w:sz="6" w:space="2"/>
        </w:pBdr>
        <w:spacing w:after="60" w:before="2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[Certification Name] | [Issuing Body] | [Month Year]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[Certification Name] | [Issuing Body] | [Month Year]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[Certification Name] | [Issuing Body] | [Month Year]</w:t>
      </w:r>
    </w:p>
    <w:p>
      <w:pPr>
        <w:pBdr>
          <w:bottom w:val="single" w:color="1F3864" w:sz="6" w:space="2"/>
        </w:pBdr>
        <w:spacing w:after="60" w:before="2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TECHNICAL PROFICIENCY</w:t>
      </w:r>
    </w:p>
    <w:p>
      <w:pPr>
        <w:spacing w:after="10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[List only tools you can defend in an interview — MS Excel/Word/PowerPoint, domain software (name it), coding/database tools if relevant to your domain.]</w:t>
      </w:r>
    </w:p>
    <w:p>
      <w:pPr>
        <w:pBdr>
          <w:bottom w:val="single" w:color="1F3864" w:sz="6" w:space="2"/>
        </w:pBdr>
        <w:spacing w:after="60" w:before="2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ACHIEVEMENTS &amp; EXTRACURRICULAR</w:t>
      </w:r>
    </w:p>
    <w:p>
      <w:pPr>
        <w:spacing w:after="10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[Optional but a genuine differentiator for freshers: publications, poster presentations, case study competitions won, college PV/CR cell leadership, volunteering, strong scores in a relevant competitive exam.]</w:t>
      </w:r>
    </w:p>
    <w:p>
      <w:pPr>
        <w:pBdr>
          <w:bottom w:val="single" w:color="1F3864" w:sz="6" w:space="2"/>
        </w:pBdr>
        <w:spacing w:after="60" w:before="2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ADDITIONAL INFORMATION</w:t>
      </w:r>
    </w:p>
    <w:p>
      <w:pPr>
        <w:spacing w:after="10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Languages Known: [English, Hindi, ...]     |     Willing to Relocate: [Yes/No]     |     Notice Period: [Immediate / X days]</w:t>
      </w:r>
    </w:p>
    <w:p>
      <w:pPr>
        <w:sectPr>
          <w:pgSz w:w="12240" w:h="15840" w:orient="portrait"/>
          <w:pgMar w:top="720" w:right="900" w:bottom="720" w:left="900" w:header="708" w:footer="708" w:gutter="0"/>
          <w:pgNumType/>
          <w:docGrid w:linePitch="360"/>
        </w:sectPr>
      </w:pPr>
    </w:p>
    <w:p>
      <w:pPr>
        <w:spacing w:after="80"/>
      </w:pPr>
      <w:r>
        <w:rPr>
          <w:rFonts w:ascii="Calibri" w:cs="Calibri" w:eastAsia="Calibri" w:hAnsi="Calibri"/>
          <w:b/>
          <w:bCs/>
          <w:color w:val="1F3864"/>
          <w:sz w:val="30"/>
          <w:szCs w:val="30"/>
        </w:rPr>
        <w:t xml:space="preserve">UNIVERSAL HEALTHCARE FRESHER RESUME — FULL GUIDE</w:t>
      </w:r>
    </w:p>
    <w:p>
      <w:pPr>
        <w:spacing w:after="10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Researched against current (2026) ATS guidance from Jobscan, LinkedIn, Naukri, Indeed, and role-specific sources across Pharmacovigilance, Clinical Research, Materiovigilance, Regulatory Affairs, Medical Affairs, Medical Writing, and Healthcare Data Analytics. This explains every bracket in the template and gives domain-specific keyword banks so ONE base template adapts to any of the seven domains in minutes.</w:t>
      </w:r>
    </w:p>
    <w:p>
      <w:pPr>
        <w:pBdr>
          <w:bottom w:val="single" w:color="1F3864" w:sz="6" w:space="2"/>
        </w:pBdr>
        <w:spacing w:after="60" w:before="2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1. THE TRUTH ABOUT "ATS SCORE 100"</w:t>
      </w:r>
    </w:p>
    <w:p>
      <w:pPr>
        <w:spacing w:after="140"/>
        <w:ind w:left="200"/>
      </w:pPr>
      <w:r>
        <w:rPr>
          <w:rFonts w:ascii="Calibri" w:cs="Calibri" w:eastAsia="Calibri" w:hAnsi="Calibri"/>
          <w:b/>
          <w:bCs/>
          <w:i/>
          <w:iCs/>
          <w:color w:val="B03A2E"/>
          <w:sz w:val="19"/>
          <w:szCs w:val="19"/>
        </w:rPr>
        <w:t xml:space="preserve">REALITY CHECK: No ATS vendor (Workday, Taleo, iCIMS, Greenhouse, Lever, Naukri RMS) publishes a universal scoring formula, and no resume — however well built — can guarantee a fixed numeric score across all of them, because the score is generated by matching your resume against THAT SPECIFIC job description, not against a template in isolation. Any tool or template claiming a guaranteed 100 score on every posting is overstating what's technically possible.</w:t>
      </w:r>
    </w:p>
    <w:p>
      <w:pPr>
        <w:spacing w:after="10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What IS fully in your control, and what this template maximizes, is parse accuracy — the percentage of your content the ATS can correctly extract and categorize. Get parsing right (Section 2) and you remove the only variable a template controls; the remaining match score is a function of how precisely your Core Competencies and Summary mirror each specific job posting's keywords, which you must do per application.</w:t>
      </w:r>
    </w:p>
    <w:p>
      <w:pPr>
        <w:pBdr>
          <w:bottom w:val="single" w:color="1F3864" w:sz="6" w:space="2"/>
        </w:pBdr>
        <w:spacing w:after="60" w:before="2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2. FORMATTING RULES (NON-NEGOTIABLE)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Single column, no tables, no text boxes, no headers/footers for contact info, no images/icons/photo, no columns, no page borders.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Font: Calibri, Arial, Garamond, or Georgia — 10–12pt body, 14–16pt headings. This template uses Calibri throughout.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Margins: 0.5"–1" on all sides.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File type: .docx or a text-based (not scanned) PDF. Filename: FirstName_LastName_Domain_Resume — never "Resume_Final_v3".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Use the standard section headers shown in the template exactly: Professional Summary, Core Competencies, Education, Internship/Project Experience, Certifications, Technical Proficiency. Creative renaming breaks ATS field-mapping.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"Career Objective" is now considered dated by recruiters and current LinkedIn guidance — use "Professional Summary" even as a fresher, framed around what you already know/did, not what you hope to learn.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Reverse-chronological order (most recent first) — the format every ATS and recruiter prefers, fresher or not.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One page for freshers with under 2 years of internship/project experience.</w:t>
      </w:r>
    </w:p>
    <w:p>
      <w:pPr>
        <w:pBdr>
          <w:bottom w:val="single" w:color="1F3864" w:sz="6" w:space="2"/>
        </w:pBdr>
        <w:spacing w:after="60" w:before="2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3. WHAT MAKES THIS TEMPLATE DIFFERENT</w:t>
      </w:r>
    </w:p>
    <w:p>
      <w:pPr>
        <w:spacing w:after="140"/>
        <w:ind w:left="200"/>
      </w:pPr>
      <w:r>
        <w:rPr>
          <w:rFonts w:ascii="Calibri" w:cs="Calibri" w:eastAsia="Calibri" w:hAnsi="Calibri"/>
          <w:i/>
          <w:iCs/>
          <w:color w:val="5B7BA6"/>
          <w:sz w:val="19"/>
          <w:szCs w:val="19"/>
        </w:rPr>
        <w:t xml:space="preserve">TIP: Most fresher templates online are single-domain (just PV, or just clinical research) and use a flat, undifferentiated "Key Skills" dump. This one uses a Domain + Cross-Functional split in Core Competencies, so the ATS sees both specialist keywords AND the universal healthcare-professional traits recruiters filter for across all seven domains — a dual signal most public templates miss. The Achievements &amp; Extracurricular section (Section 9) is also rarely included in fresher templates and is a genuine differentiator with recruiters.</w:t>
      </w:r>
    </w:p>
    <w:p>
      <w:pPr>
        <w:pBdr>
          <w:bottom w:val="single" w:color="1F3864" w:sz="6" w:space="2"/>
        </w:pBdr>
        <w:spacing w:after="60" w:before="2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4. CONTACT HEADER &amp; HEADLINE</w:t>
      </w:r>
    </w:p>
    <w:p>
      <w:pPr>
        <w:spacing w:after="140"/>
        <w:ind w:left="200"/>
      </w:pPr>
      <w:r>
        <w:rPr>
          <w:rFonts w:ascii="Calibri" w:cs="Calibri" w:eastAsia="Calibri" w:hAnsi="Calibri"/>
          <w:i/>
          <w:iCs/>
          <w:color w:val="5B7BA6"/>
          <w:sz w:val="19"/>
          <w:szCs w:val="19"/>
        </w:rPr>
        <w:t xml:space="preserve">TIP: Add a one-line headline under your name stating target role + domain (as shown in the template) — this line is often the strongest keyword signal an ATS reads, more than the whole summary. Use a personal email, skip the photo and full postal address (city/state is enough) — both are now flagged as bias-risk fields by modern ATS/HR policy.</w:t>
      </w:r>
    </w:p>
    <w:p>
      <w:pPr>
        <w:pBdr>
          <w:bottom w:val="single" w:color="1F3864" w:sz="6" w:space="2"/>
        </w:pBdr>
        <w:spacing w:after="60" w:before="2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5. PROFESSIONAL SUMMARY FORMULAS BY DOMAIN</w:t>
      </w:r>
    </w:p>
    <w:p>
      <w:pPr>
        <w:spacing w:after="40" w:before="220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Pharmacovigilance</w:t>
      </w:r>
    </w:p>
    <w:p>
      <w:pPr>
        <w:spacing w:after="10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"[Degree] graduate with foundation in clinical pharmacology, ICH-GCP, and adverse event reporting, seeking a Pharmacovigilance Associate role. Completed a 200-case ICSR simulation project with 98% MedDRA coding accuracy."</w:t>
      </w:r>
    </w:p>
    <w:p>
      <w:pPr>
        <w:spacing w:after="40" w:before="220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Clinical Research</w:t>
      </w:r>
    </w:p>
    <w:p>
      <w:pPr>
        <w:spacing w:after="10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"[Degree] graduate with hands-on exposure to GCP-compliant trial documentation and informed consent processes during a 3-month CRO internship, seeking a Clinical Research Coordinator role focused on protocol adherence and data integrity."</w:t>
      </w:r>
    </w:p>
    <w:p>
      <w:pPr>
        <w:spacing w:after="40" w:before="220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Materiovigilance</w:t>
      </w:r>
    </w:p>
    <w:p>
      <w:pPr>
        <w:spacing w:after="10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"[Degree] graduate trained in medical device adverse event reporting under India's MvPI framework, seeking a Materiovigilance Associate role to support CDSCO-compliant post-market surveillance and device safety signal review."</w:t>
      </w:r>
    </w:p>
    <w:p>
      <w:pPr>
        <w:spacing w:after="40" w:before="220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Regulatory Affairs</w:t>
      </w:r>
    </w:p>
    <w:p>
      <w:pPr>
        <w:spacing w:after="10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"[Degree] graduate with academic project experience in dossier compilation and ICH/CDSCO submission requirements, seeking a Regulatory Affairs Associate role to support product registration and compliance documentation."</w:t>
      </w:r>
    </w:p>
    <w:p>
      <w:pPr>
        <w:spacing w:after="40" w:before="220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Medical Affairs</w:t>
      </w:r>
    </w:p>
    <w:p>
      <w:pPr>
        <w:spacing w:after="10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"[Degree] graduate with strong scientific communication and literature-review skills built through [thesis/internship], seeking an entry-level Medical Affairs Associate role to support KOL engagement, medical information, and evidence generation."</w:t>
      </w:r>
    </w:p>
    <w:p>
      <w:pPr>
        <w:spacing w:after="40" w:before="220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Medical Writing</w:t>
      </w:r>
    </w:p>
    <w:p>
      <w:pPr>
        <w:spacing w:after="10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"[Degree] graduate with demonstrated scientific writing ability ([X] publications/reports/case studies), seeking a Medical Writer role to develop clinical and regulatory documents with precision and compliance to style guidelines (AMA/ICMJE)."</w:t>
      </w:r>
    </w:p>
    <w:p>
      <w:pPr>
        <w:spacing w:after="40" w:before="220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Healthcare Data Analytics</w:t>
      </w:r>
    </w:p>
    <w:p>
      <w:pPr>
        <w:spacing w:after="10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"[Degree] graduate proficient in SQL, SAS/R/Python, and clinical dataset analysis, seeking a Healthcare/Clinical Data Analyst role. Reduced missing-value rate from 12% to 4% on a [dataset] academic project using structured validation rules."</w:t>
      </w:r>
    </w:p>
    <w:p>
      <w:pPr>
        <w:spacing w:after="140"/>
        <w:ind w:left="200"/>
      </w:pPr>
      <w:r>
        <w:rPr>
          <w:rFonts w:ascii="Calibri" w:cs="Calibri" w:eastAsia="Calibri" w:hAnsi="Calibri"/>
          <w:i/>
          <w:iCs/>
          <w:color w:val="5B7BA6"/>
          <w:sz w:val="19"/>
          <w:szCs w:val="19"/>
        </w:rPr>
        <w:t xml:space="preserve">TIP: In every formula: swap in your real numbers. Never leave a vague claim ("strong analytical skills") without a number or artifact behind it — that's the top reason fresher summaries get skipped by recruiters even after passing the ATS.</w:t>
      </w:r>
    </w:p>
    <w:p>
      <w:pPr>
        <w:pBdr>
          <w:bottom w:val="single" w:color="1F3864" w:sz="6" w:space="2"/>
        </w:pBdr>
        <w:spacing w:after="60" w:before="2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6. DOMAIN SKILL BANKS (CORE COMPETENCIES → "DOMAIN SKILLS")</w:t>
      </w:r>
    </w:p>
    <w:p>
      <w:pPr>
        <w:spacing w:after="40" w:before="220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Pharmacovigilance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ICSR case processing (intake, triage, data entry), MedDRA coding, WHO Drug Dictionary coding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Safety databases: Oracle Argus Safety, ArisGlobal (ArisG), Veeva Vault Safety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Signal detection &amp; causality assessment (WHO-UMC, Naranjo scale)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Aggregate reporting: PSUR/PBRER, DSUR; ICH-GCP, GVP Modules, E2A/E2B(R3), CDSCO/PvPI</w:t>
      </w:r>
    </w:p>
    <w:p>
      <w:pPr>
        <w:spacing w:after="40" w:before="220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Clinical Research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Good Clinical Practice (ICH E6 R2/R3), informed consent process, source document verification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EDC systems: Medidata Rave, Oracle Clinical, InForm; CTMS, eTMF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Site monitoring support, query resolution, SAE/AE reporting, IND/CTA awareness</w:t>
      </w:r>
    </w:p>
    <w:p>
      <w:pPr>
        <w:spacing w:after="40" w:before="220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Materiovigilance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Medical Device Adverse Event (MDAE) reporting under MvPI, IPC/CDSCO reporting workflow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Field Safety Corrective Action (FSCA) and recall documentation awareness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ISO 13485 (Quality Management for Medical Devices), ISO 14971 (Risk Management) familiarity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Medical Device Rules 2017 (India), post-market surveillance (PMS) concepts</w:t>
      </w:r>
    </w:p>
    <w:p>
      <w:pPr>
        <w:spacing w:after="40" w:before="220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Regulatory Affairs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Dossier compilation (CTD/eCTD format), product registration/licensing documentation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Regulatory frameworks: ICH guidelines, FDA 21 CFR, EMA regulations, CDSCO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Labeling and promotional material compliance review, change control documentation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Regulatory intelligence / tracking of guideline updates</w:t>
      </w:r>
    </w:p>
    <w:p>
      <w:pPr>
        <w:spacing w:after="40" w:before="220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Medical Affairs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Scientific literature review and evidence synthesis, medical information response drafting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KOL/HCP engagement support, advisory board coordination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Slide deck / scientific communication development, data interpretation for non-technical audiences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Cross-functional liaison awareness (Medical–Commercial–Regulatory interface)</w:t>
      </w:r>
    </w:p>
    <w:p>
      <w:pPr>
        <w:spacing w:after="40" w:before="220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Medical Writing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Manuscript, abstract, and poster drafting; clinical study report (CSR) structure awareness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Regulatory document drafting: patient narratives, protocol summaries, informed consent forms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Style guide adherence: AMA Manual of Style, ICMJE recommendations, CONSORT/PRISMA awareness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Reference management tools (EndNote/Zotero), plagiarism-check tools</w:t>
      </w:r>
    </w:p>
    <w:p>
      <w:pPr>
        <w:spacing w:after="40" w:before="220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Healthcare Data Analytics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SQL, SAS, R or Python for clinical/healthcare dataset analysis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Data cleaning, validation, and clinical data management (CDM) principles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Data visualization: Tableau, Power BI, Excel dashboards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Electronic Data Capture (EDC) data extraction, ICD/CPT coding familiarity</w:t>
      </w:r>
    </w:p>
    <w:p>
      <w:pPr>
        <w:spacing w:after="140"/>
        <w:ind w:left="200"/>
      </w:pPr>
      <w:r>
        <w:rPr>
          <w:rFonts w:ascii="Calibri" w:cs="Calibri" w:eastAsia="Calibri" w:hAnsi="Calibri"/>
          <w:i/>
          <w:iCs/>
          <w:color w:val="5B7BA6"/>
          <w:sz w:val="19"/>
          <w:szCs w:val="19"/>
        </w:rPr>
        <w:t xml:space="preserve">TIP: Pick ONE domain per resume version. Trying to keyword-stuff all seven into one document dilutes relevance scoring and reads as unfocused to a recruiter — keep separate tailored versions instead, one per domain you're actively targeting.</w:t>
      </w:r>
    </w:p>
    <w:p>
      <w:pPr>
        <w:pBdr>
          <w:bottom w:val="single" w:color="1F3864" w:sz="6" w:space="2"/>
        </w:pBdr>
        <w:spacing w:after="60" w:before="2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7. CROSS-FUNCTIONAL SOFT SKILLS (UNIVERSAL — USE IN EVERY VERSION)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Attention to detail and accuracy under deadline pressure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Analytical and critical thinking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Written and verbal communication (technical/scientific writing awareness)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Time management and multitasking across concurrent tasks/cases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Cross-functional team collaboration in regulated/global environments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Adaptability and continuous learning (regulations and guidelines change frequently)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Confidentiality, data integrity, and ethics mindset</w:t>
      </w:r>
    </w:p>
    <w:p>
      <w:pPr>
        <w:pBdr>
          <w:bottom w:val="single" w:color="1F3864" w:sz="6" w:space="2"/>
        </w:pBdr>
        <w:spacing w:after="60" w:before="2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8. CERTIFICATIONS BY DOMAIN — FREE AND PAID</w:t>
      </w:r>
    </w:p>
    <w:p>
      <w:pPr>
        <w:spacing w:after="40" w:before="220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Pharmacovigilance — Free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WHO-UMC self-paced courses: Basic Pharmacovigilance, Signal Detection &amp; Causality Assessment (who-umc.org)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EMA free pharmacovigilance training materials; TransCelerate / CITI Program GCP modules (free for many affiliations)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Coursera/edX audit mode — Pharmacovigilance &amp; Drug Safety courses</w:t>
      </w:r>
    </w:p>
    <w:p>
      <w:pPr>
        <w:spacing w:after="40" w:before="220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Pharmacovigilance — Paid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NIPER PG Diploma in Pharmacovigilance; IGMPI PG Diploma in PV &amp; Clinical Research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Cliniminds Drug Safety Associate Program; Henry Harvin PV Certification; DIA Safety &amp; PV Certificate Program; CCRPS APVASC</w:t>
      </w:r>
    </w:p>
    <w:p>
      <w:pPr>
        <w:spacing w:after="40" w:before="220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Clinical Research — Free / Paid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Free: TransCelerate / CITI Program GCP certificates (industry mutually recognized)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Paid: SOCRA CCRP and ACRP CCRC/CCRA (experience-gated — treat as a 1–2 year career goal, not a fresher credential); ICRI/Clinogent/university clinical research diploma programs (India)</w:t>
      </w:r>
    </w:p>
    <w:p>
      <w:pPr>
        <w:spacing w:after="40" w:before="220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Materiovigilance — Free / Paid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Free: IPC/MvPI periodic Skill Development Programme workshops (announced on ipc.gov.in); CDSCO/NHSRC webinars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Paid: ISO 13485 and ISO 14971 foundation training courses (various accredited providers)</w:t>
      </w:r>
    </w:p>
    <w:p>
      <w:pPr>
        <w:spacing w:after="40" w:before="220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Regulatory Affairs — Free / Paid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Free: RAPS (Regulatory Affairs Professionals Society) free resources and webinars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Paid: RAC (Regulatory Affairs Certification) from RAPS; IGMPI PG Diploma in Regulatory Affairs; TOPRA courses</w:t>
      </w:r>
    </w:p>
    <w:p>
      <w:pPr>
        <w:spacing w:after="40" w:before="220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Medical Affairs / MSL — Free / Paid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Free: Medical Affairs Professional Society (MAPS) member resources and webinars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Paid: MSL-focused academy resume &amp; training programs; university Medical Affairs certificate programs</w:t>
      </w:r>
    </w:p>
    <w:p>
      <w:pPr>
        <w:spacing w:after="40" w:before="220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Medical Writing — Free / Paid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Free: AMWA (American Medical Writers Association) and EMWA (European Medical Writers Association) introductory webinars/resources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Paid: AMWA Medical Writing &amp; Communication Certificate; EMWA workshop modules; RAC (overlaps with regulatory writing roles)</w:t>
      </w:r>
    </w:p>
    <w:p>
      <w:pPr>
        <w:spacing w:after="40" w:before="220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Healthcare Data Analytics — Free / Paid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Free: Google Data Analytics Certificate (Coursera, audit/financial-aid mode); Kaggle micro-courses (SQL, Python, Pandas)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Paid: Certified Clinical Data Manager (CCDM) from SCDM; SAS Certified Specialist; Google Data Analytics Certificate (paid track for the credential)</w:t>
      </w:r>
    </w:p>
    <w:p>
      <w:pPr>
        <w:spacing w:after="140"/>
        <w:ind w:left="200"/>
      </w:pPr>
      <w:r>
        <w:rPr>
          <w:rFonts w:ascii="Calibri" w:cs="Calibri" w:eastAsia="Calibri" w:hAnsi="Calibri"/>
          <w:i/>
          <w:iCs/>
          <w:color w:val="5B7BA6"/>
          <w:sz w:val="19"/>
          <w:szCs w:val="19"/>
        </w:rPr>
        <w:t xml:space="preserve">TIP: Freshers should not claim experience-gated certifications (CCRP, CCRA, CCRC, some CCDM tracks) they aren't yet eligible for. A short, real list of foundational certifications always outperforms an empty or inflated one.</w:t>
      </w:r>
    </w:p>
    <w:p>
      <w:pPr>
        <w:pBdr>
          <w:bottom w:val="single" w:color="1F3864" w:sz="6" w:space="2"/>
        </w:pBdr>
        <w:spacing w:after="60" w:before="2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9. ACHIEVEMENTS &amp; EXTRACURRICULAR — WHY INCLUDE THIS</w:t>
      </w:r>
    </w:p>
    <w:p>
      <w:pPr>
        <w:spacing w:after="140"/>
        <w:ind w:left="200"/>
      </w:pPr>
      <w:r>
        <w:rPr>
          <w:rFonts w:ascii="Calibri" w:cs="Calibri" w:eastAsia="Calibri" w:hAnsi="Calibri"/>
          <w:i/>
          <w:iCs/>
          <w:color w:val="5B7BA6"/>
          <w:sz w:val="19"/>
          <w:szCs w:val="19"/>
        </w:rPr>
        <w:t xml:space="preserve">TIP: This is what most competing fresher templates skip, and it's a real differentiator: publications, poster presentations at conferences, case-study or hackathon wins, leadership in a college PV/CR/data cell, or a strong score in a relevant competitive exam. It gives the ATS additional keyword surface and gives the human recruiter a memorable reason to shortlist you over an equally-qualified peer. Leave it out entirely if you have nothing genuine to put there — don't pad it.</w:t>
      </w:r>
    </w:p>
    <w:p>
      <w:pPr>
        <w:pBdr>
          <w:bottom w:val="single" w:color="1F3864" w:sz="6" w:space="2"/>
        </w:pBdr>
        <w:spacing w:after="60" w:before="2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10. FINAL CHECKLIST BEFORE SUBMITTING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Ran the resume through a scanner (Jobscan or similar) against the actual job description, not just spell-checked it.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Section headers match standard ATS-recognized terms.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Top 5–8 keywords from the target job description appear naturally in Summary + Core Competencies + Experience bullets (not pasted invisibly — that gets flagged as manipulation, not rewarded).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No graphics, icons, tables, or multi-column layout anywhere in the file.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File saved as .docx or text-searchable PDF, named FirstName_LastName_Domain_Resume.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One page, consistent date format, consistent bullet style throughout.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A different, tailored version exists for each of the domains you're actively applying to — this template is the base; the keyword banks in Section 6 are what you swap per application.</w:t>
      </w:r>
    </w:p>
    <w:sectPr>
      <w:pgSz w:w="12240" w:h="15840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2026-07-24T19:08:41.212Z</dcterms:created>
  <dcterms:modified xsi:type="dcterms:W3CDTF">2026-07-24T19:08:41.245Z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